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4E5B05" w:rsidTr="004E0E4B">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rsidR="004E5B05" w:rsidRDefault="004E5B05" w:rsidP="004E0E4B">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3DA0216F" wp14:editId="432F75DE">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szCs w:val="20"/>
                <w:rtl/>
                <w:lang w:val="ar-SY" w:bidi="ar-SY"/>
              </w:rPr>
              <w:drawing>
                <wp:anchor distT="0" distB="0" distL="114300" distR="114300" simplePos="0" relativeHeight="251660288" behindDoc="1" locked="0" layoutInCell="1" allowOverlap="1" wp14:anchorId="0EC997A0" wp14:editId="66CA7DA9">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rsidR="004E5B05" w:rsidRDefault="004E5B05" w:rsidP="004E0E4B">
            <w:pPr>
              <w:jc w:val="center"/>
              <w:rPr>
                <w:rFonts w:cs="Arial"/>
                <w:sz w:val="20"/>
                <w:szCs w:val="20"/>
                <w:rtl/>
                <w:lang w:bidi="ar-SY"/>
              </w:rPr>
            </w:pPr>
          </w:p>
          <w:p w:rsidR="004E5B05" w:rsidRPr="00185AB9" w:rsidRDefault="004E5B05" w:rsidP="004E0E4B">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rsidR="004E5B05" w:rsidRPr="00185AB9" w:rsidRDefault="004E5B05" w:rsidP="004E0E4B">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rsidR="004E5B05" w:rsidRPr="00922514" w:rsidRDefault="004E5B05" w:rsidP="004E0E4B">
            <w:pPr>
              <w:rPr>
                <w:rFonts w:cs="Arial"/>
                <w:sz w:val="20"/>
                <w:szCs w:val="20"/>
                <w:rtl/>
                <w:lang w:bidi="ar-SY"/>
              </w:rPr>
            </w:pPr>
          </w:p>
        </w:tc>
      </w:tr>
      <w:tr w:rsidR="004E5B05" w:rsidTr="004E0E4B">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6A7B27" w:rsidRDefault="0011521E" w:rsidP="0011521E">
            <w:pPr>
              <w:pStyle w:val="dx-doi"/>
              <w:numPr>
                <w:ilvl w:val="0"/>
                <w:numId w:val="1"/>
              </w:numPr>
              <w:spacing w:before="0" w:after="0"/>
              <w:ind w:left="0"/>
              <w:rPr>
                <w:rFonts w:asciiTheme="majorBidi" w:hAnsiTheme="majorBidi"/>
                <w:sz w:val="36"/>
                <w:szCs w:val="36"/>
                <w:lang w:bidi="ar-SY"/>
              </w:rPr>
            </w:pPr>
            <w:r>
              <w:t xml:space="preserve">The study of hydrophobicity and </w:t>
            </w:r>
            <w:proofErr w:type="spellStart"/>
            <w:r>
              <w:t>oleophilicity</w:t>
            </w:r>
            <w:proofErr w:type="spellEnd"/>
            <w:r>
              <w:t xml:space="preserve"> of 3D weft-knitted spacer fabrics integrated with silica aerogels</w:t>
            </w:r>
          </w:p>
        </w:tc>
      </w:tr>
      <w:tr w:rsidR="004E5B05" w:rsidTr="004E0E4B">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rsidR="004E5B05" w:rsidRPr="00185AB9" w:rsidRDefault="004E5B05"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4E5B05" w:rsidRDefault="0011521E" w:rsidP="004E0E4B">
            <w:pPr>
              <w:pStyle w:val="dx-doi"/>
              <w:numPr>
                <w:ilvl w:val="0"/>
                <w:numId w:val="1"/>
              </w:numPr>
              <w:spacing w:before="0" w:after="0"/>
              <w:ind w:left="0"/>
              <w:rPr>
                <w:rFonts w:eastAsiaTheme="minorHAnsi"/>
                <w:color w:val="333333"/>
                <w:sz w:val="26"/>
                <w:szCs w:val="26"/>
                <w:lang w:val="en-US" w:eastAsia="en-US"/>
              </w:rPr>
            </w:pPr>
            <w:r w:rsidRPr="0011521E">
              <w:rPr>
                <w:rFonts w:eastAsiaTheme="minorHAnsi"/>
                <w:color w:val="333333"/>
                <w:sz w:val="26"/>
                <w:szCs w:val="26"/>
                <w:lang w:val="en-US" w:eastAsia="en-US"/>
              </w:rPr>
              <w:t xml:space="preserve">Syed </w:t>
            </w:r>
            <w:proofErr w:type="spellStart"/>
            <w:r w:rsidRPr="0011521E">
              <w:rPr>
                <w:rFonts w:eastAsiaTheme="minorHAnsi"/>
                <w:color w:val="333333"/>
                <w:sz w:val="26"/>
                <w:szCs w:val="26"/>
                <w:lang w:val="en-US" w:eastAsia="en-US"/>
              </w:rPr>
              <w:t>Rashedul</w:t>
            </w:r>
            <w:proofErr w:type="spellEnd"/>
            <w:r w:rsidRPr="0011521E">
              <w:rPr>
                <w:rFonts w:eastAsiaTheme="minorHAnsi"/>
                <w:color w:val="333333"/>
                <w:sz w:val="26"/>
                <w:szCs w:val="26"/>
                <w:lang w:val="en-US" w:eastAsia="en-US"/>
              </w:rPr>
              <w:t xml:space="preserve"> Islam, </w:t>
            </w:r>
            <w:proofErr w:type="spellStart"/>
            <w:r w:rsidRPr="0011521E">
              <w:rPr>
                <w:rFonts w:eastAsiaTheme="minorHAnsi"/>
                <w:color w:val="333333"/>
                <w:sz w:val="26"/>
                <w:szCs w:val="26"/>
                <w:lang w:val="en-US" w:eastAsia="en-US"/>
              </w:rPr>
              <w:t>Abeer</w:t>
            </w:r>
            <w:proofErr w:type="spellEnd"/>
            <w:r w:rsidRPr="0011521E">
              <w:rPr>
                <w:rFonts w:eastAsiaTheme="minorHAnsi"/>
                <w:color w:val="333333"/>
                <w:sz w:val="26"/>
                <w:szCs w:val="26"/>
                <w:lang w:val="en-US" w:eastAsia="en-US"/>
              </w:rPr>
              <w:t xml:space="preserve"> </w:t>
            </w:r>
            <w:proofErr w:type="spellStart"/>
            <w:r w:rsidRPr="0011521E">
              <w:rPr>
                <w:rFonts w:eastAsiaTheme="minorHAnsi"/>
                <w:color w:val="333333"/>
                <w:sz w:val="26"/>
                <w:szCs w:val="26"/>
                <w:lang w:val="en-US" w:eastAsia="en-US"/>
              </w:rPr>
              <w:t>Alassod</w:t>
            </w:r>
            <w:proofErr w:type="spellEnd"/>
            <w:r w:rsidRPr="0011521E">
              <w:rPr>
                <w:rFonts w:eastAsiaTheme="minorHAnsi"/>
                <w:color w:val="333333"/>
                <w:sz w:val="26"/>
                <w:szCs w:val="26"/>
                <w:lang w:val="en-US" w:eastAsia="en-US"/>
              </w:rPr>
              <w:t xml:space="preserve">, Tayyab Naveed, </w:t>
            </w:r>
            <w:proofErr w:type="spellStart"/>
            <w:r w:rsidRPr="0011521E">
              <w:rPr>
                <w:rFonts w:eastAsiaTheme="minorHAnsi"/>
                <w:color w:val="333333"/>
                <w:sz w:val="26"/>
                <w:szCs w:val="26"/>
                <w:lang w:val="en-US" w:eastAsia="en-US"/>
              </w:rPr>
              <w:t>Hewan</w:t>
            </w:r>
            <w:proofErr w:type="spellEnd"/>
            <w:r w:rsidRPr="0011521E">
              <w:rPr>
                <w:rFonts w:eastAsiaTheme="minorHAnsi"/>
                <w:color w:val="333333"/>
                <w:sz w:val="26"/>
                <w:szCs w:val="26"/>
                <w:lang w:val="en-US" w:eastAsia="en-US"/>
              </w:rPr>
              <w:t xml:space="preserve"> Dawit, Khalil Ahmed, Jinhua Jiang</w:t>
            </w:r>
          </w:p>
        </w:tc>
      </w:tr>
      <w:tr w:rsidR="004E5B05" w:rsidTr="004E0E4B">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rsidR="004E5B05" w:rsidRPr="00185AB9" w:rsidRDefault="004E5B05" w:rsidP="004E0E4B">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4E5B05" w:rsidRDefault="0011521E" w:rsidP="004E0E4B">
            <w:pPr>
              <w:pStyle w:val="dx-doi"/>
              <w:numPr>
                <w:ilvl w:val="0"/>
                <w:numId w:val="1"/>
              </w:numPr>
              <w:spacing w:before="0" w:after="0"/>
              <w:ind w:left="0"/>
              <w:rPr>
                <w:rFonts w:eastAsiaTheme="minorHAnsi"/>
                <w:color w:val="333333"/>
                <w:sz w:val="26"/>
                <w:szCs w:val="26"/>
                <w:rtl/>
                <w:lang w:val="en-US" w:eastAsia="en-US"/>
              </w:rPr>
            </w:pPr>
            <w:r w:rsidRPr="0011521E">
              <w:t>Journal of Industrial Textiles</w:t>
            </w:r>
          </w:p>
        </w:tc>
      </w:tr>
      <w:tr w:rsidR="004E5B05" w:rsidTr="004E0E4B">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50439D" w:rsidRDefault="004E5B05" w:rsidP="004E0E4B">
            <w:pPr>
              <w:jc w:val="center"/>
              <w:rPr>
                <w:rFonts w:asciiTheme="majorBidi" w:hAnsiTheme="majorBidi" w:cstheme="majorBidi"/>
                <w:sz w:val="36"/>
                <w:szCs w:val="36"/>
                <w:lang w:bidi="ar-SY"/>
              </w:rPr>
            </w:pPr>
          </w:p>
        </w:tc>
      </w:tr>
      <w:tr w:rsidR="004E5B05" w:rsidTr="004E0E4B">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50439D" w:rsidRDefault="004E5B05" w:rsidP="004E0E4B">
            <w:pPr>
              <w:jc w:val="center"/>
              <w:rPr>
                <w:rFonts w:asciiTheme="majorBidi" w:hAnsiTheme="majorBidi" w:cstheme="majorBidi"/>
                <w:sz w:val="36"/>
                <w:szCs w:val="36"/>
                <w:lang w:bidi="ar-SY"/>
              </w:rPr>
            </w:pPr>
            <w:r>
              <w:rPr>
                <w:rFonts w:asciiTheme="majorBidi" w:hAnsiTheme="majorBidi" w:cstheme="majorBidi"/>
                <w:sz w:val="36"/>
                <w:szCs w:val="36"/>
                <w:lang w:bidi="ar-SY"/>
              </w:rPr>
              <w:t>Q</w:t>
            </w:r>
            <w:r w:rsidR="0011521E">
              <w:rPr>
                <w:rFonts w:asciiTheme="majorBidi" w:hAnsiTheme="majorBidi" w:cstheme="majorBidi"/>
                <w:sz w:val="36"/>
                <w:szCs w:val="36"/>
                <w:lang w:bidi="ar-SY"/>
              </w:rPr>
              <w:t>1</w:t>
            </w:r>
          </w:p>
        </w:tc>
      </w:tr>
      <w:tr w:rsidR="004E5B05" w:rsidTr="004E0E4B">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rsidR="004E5B05" w:rsidRPr="00185AB9" w:rsidRDefault="004E5B05" w:rsidP="004E0E4B">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rsidR="004E5B05" w:rsidRPr="00695AF2" w:rsidRDefault="0011521E" w:rsidP="004E0E4B">
            <w:pPr>
              <w:pStyle w:val="NoSpacing"/>
              <w:jc w:val="both"/>
              <w:rPr>
                <w:rFonts w:asciiTheme="majorBidi" w:hAnsiTheme="majorBidi" w:cstheme="majorBidi"/>
                <w:sz w:val="36"/>
                <w:szCs w:val="36"/>
                <w:rtl/>
                <w:lang w:val="en-GB" w:bidi="ar-SY"/>
              </w:rPr>
            </w:pPr>
            <w:bookmarkStart w:id="0" w:name="_GoBack"/>
            <w:r w:rsidRPr="0011521E">
              <w:rPr>
                <w:rFonts w:ascii="Times New Roman" w:eastAsia="Times New Roman" w:hAnsi="Times New Roman" w:cs="Times New Roman"/>
                <w:sz w:val="24"/>
                <w:szCs w:val="24"/>
                <w:lang w:val="en-GB" w:eastAsia="zh-CN"/>
              </w:rPr>
              <w:t>DOI: 10.1177/15280837211029048</w:t>
            </w:r>
            <w:bookmarkEnd w:id="0"/>
          </w:p>
        </w:tc>
      </w:tr>
      <w:tr w:rsidR="004E5B05" w:rsidTr="004E0E4B">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rsidR="004E5B05" w:rsidRPr="00185AB9" w:rsidRDefault="004E5B05" w:rsidP="004E0E4B">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rsidR="004E5B05" w:rsidRPr="00185AB9" w:rsidRDefault="004E5B05" w:rsidP="004E0E4B">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rsidR="004E5B05" w:rsidRPr="004E5B05" w:rsidRDefault="0011521E" w:rsidP="0011521E">
            <w:pPr>
              <w:pStyle w:val="dx-doi"/>
              <w:numPr>
                <w:ilvl w:val="0"/>
                <w:numId w:val="1"/>
              </w:numPr>
              <w:spacing w:before="0" w:after="0"/>
              <w:ind w:left="0"/>
              <w:jc w:val="both"/>
              <w:rPr>
                <w:color w:val="000000" w:themeColor="text1"/>
                <w:sz w:val="36"/>
                <w:szCs w:val="36"/>
                <w:lang w:val="en"/>
              </w:rPr>
            </w:pPr>
            <w:r>
              <w:t>The interest in multifunctional textile materials has been increased due to the health and safety measures of living beings, especially in severe conditions. Therefore, this study investigated the hydrophobicity, oil sorption capacity, and bending properties of untreated or uncoated and treated or coated 3D weft-knitted spacer fabric samples (92% polyester/8% spandex), i.e. sample 1, sample 2, and sample 3, having thicknesses of 2 mm (300 gm</w:t>
            </w:r>
            <w:r>
              <w:softHyphen/>
            </w:r>
            <w:proofErr w:type="gramStart"/>
            <w:r>
              <w:t>2 )</w:t>
            </w:r>
            <w:proofErr w:type="gramEnd"/>
            <w:r>
              <w:t>, 3 mm (350 gm</w:t>
            </w:r>
            <w:r>
              <w:softHyphen/>
              <w:t>2 ), and 4 mm (540 gm</w:t>
            </w:r>
            <w:r>
              <w:softHyphen/>
              <w:t xml:space="preserve">2 ), with silica aerogels (SAs) through the sol-gel method. SEM, FTIR-ATR, and surface roughness test of fabric samples were </w:t>
            </w:r>
            <w:proofErr w:type="spellStart"/>
            <w:r>
              <w:t>analyzed</w:t>
            </w:r>
            <w:proofErr w:type="spellEnd"/>
            <w:r>
              <w:t xml:space="preserve"> to comprehend the influence of SAs. The experimental results revealed the excellent hydrophobicity and </w:t>
            </w:r>
            <w:proofErr w:type="spellStart"/>
            <w:r>
              <w:t>oleophilicity</w:t>
            </w:r>
            <w:proofErr w:type="spellEnd"/>
            <w:r>
              <w:t xml:space="preserve"> of all the treated 3D </w:t>
            </w:r>
            <w:proofErr w:type="spellStart"/>
            <w:r>
              <w:t>weftknitted</w:t>
            </w:r>
            <w:proofErr w:type="spellEnd"/>
            <w:r>
              <w:t xml:space="preserve"> spacer fabric samples, providing a higher water contact angle (CA) 142 </w:t>
            </w:r>
            <w:r>
              <w:noBreakHyphen/>
              <w:t xml:space="preserve"> 0.84</w:t>
            </w:r>
            <w:r>
              <w:t xml:space="preserve"> and an oil sorption capacity 7.51 </w:t>
            </w:r>
            <w:r>
              <w:noBreakHyphen/>
              <w:t xml:space="preserve"> 0.08g/g and 6.88 </w:t>
            </w:r>
            <w:r>
              <w:noBreakHyphen/>
              <w:t xml:space="preserve"> 0.06g/g for vegetable oil and engine oil, especially of sample 2 owing to the most silica particles. The statistical analysis also demonstrated a significant performance (P &lt; 0.05) of treated spacer fabric</w:t>
            </w:r>
            <w:r>
              <w:t xml:space="preserve"> </w:t>
            </w:r>
            <w:r>
              <w:t>samples at the 0.05 level. Thus, these fabrics are suitable for an industrial application of hydrophobic and oleophilic properties.</w:t>
            </w:r>
          </w:p>
        </w:tc>
      </w:tr>
    </w:tbl>
    <w:p w:rsidR="004E5B05" w:rsidRDefault="004E5B05" w:rsidP="004E5B05">
      <w:pPr>
        <w:ind w:left="450" w:hanging="450"/>
        <w:rPr>
          <w:rtl/>
          <w:lang w:bidi="ar-SY"/>
        </w:rPr>
      </w:pPr>
      <w:r>
        <w:fldChar w:fldCharType="begin"/>
      </w:r>
      <w:r>
        <w:instrText xml:space="preserve"> INCLUDEPICTURE "http://damascusuniversity.edu.sy/fmee/downloads/files/1538992904_fmee.png" \* MERGEFORMATINET </w:instrText>
      </w:r>
      <w:r>
        <w:fldChar w:fldCharType="end"/>
      </w:r>
    </w:p>
    <w:p w:rsidR="004E5B05" w:rsidRDefault="004E5B05" w:rsidP="004E5B05">
      <w:pPr>
        <w:rPr>
          <w:lang w:bidi="ar-SY"/>
        </w:rPr>
      </w:pPr>
    </w:p>
    <w:p w:rsidR="00F47A7B" w:rsidRDefault="00F47A7B"/>
    <w:sectPr w:rsidR="00F47A7B" w:rsidSect="00695AF2">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336B7"/>
    <w:multiLevelType w:val="multilevel"/>
    <w:tmpl w:val="92E27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3MjI1MTI0MzYxNDdW0lEKTi0uzszPAykwrAUASX6MUywAAAA="/>
  </w:docVars>
  <w:rsids>
    <w:rsidRoot w:val="004E5B05"/>
    <w:rsid w:val="0011521E"/>
    <w:rsid w:val="004E5B05"/>
    <w:rsid w:val="00F47A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D8E2"/>
  <w15:chartTrackingRefBased/>
  <w15:docId w15:val="{8B6F9713-F457-409E-BFEF-523277A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B05"/>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B0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5B05"/>
    <w:pPr>
      <w:spacing w:after="0" w:line="240" w:lineRule="auto"/>
    </w:pPr>
    <w:rPr>
      <w:rFonts w:eastAsiaTheme="minorHAnsi"/>
      <w:lang w:val="en-US" w:eastAsia="en-US"/>
    </w:rPr>
  </w:style>
  <w:style w:type="paragraph" w:customStyle="1" w:styleId="dx-doi">
    <w:name w:val="dx-doi"/>
    <w:basedOn w:val="Normal"/>
    <w:rsid w:val="004E5B05"/>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Hyperlink">
    <w:name w:val="Hyperlink"/>
    <w:basedOn w:val="DefaultParagraphFont"/>
    <w:uiPriority w:val="99"/>
    <w:semiHidden/>
    <w:unhideWhenUsed/>
    <w:rsid w:val="004E5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2023-06-08T18:38:00Z</dcterms:created>
  <dcterms:modified xsi:type="dcterms:W3CDTF">2023-06-08T18:38:00Z</dcterms:modified>
</cp:coreProperties>
</file>